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0E" w:rsidRPr="002E1B3B" w:rsidRDefault="002E1B3B" w:rsidP="002E1B3B">
      <w:pPr>
        <w:jc w:val="center"/>
        <w:rPr>
          <w:b/>
          <w:bCs/>
          <w:sz w:val="24"/>
          <w:szCs w:val="32"/>
          <w:lang w:val="en-GB"/>
        </w:rPr>
      </w:pPr>
      <w:r w:rsidRPr="002E1B3B">
        <w:rPr>
          <w:rFonts w:hint="cs"/>
          <w:b/>
          <w:bCs/>
          <w:sz w:val="24"/>
          <w:szCs w:val="32"/>
          <w:cs/>
        </w:rPr>
        <w:t xml:space="preserve">แผนผังการวางแผนจำหน่ายผู้ป่วย </w:t>
      </w:r>
      <w:r w:rsidRPr="002E1B3B">
        <w:rPr>
          <w:b/>
          <w:bCs/>
          <w:sz w:val="24"/>
          <w:szCs w:val="32"/>
          <w:lang w:val="en-GB"/>
        </w:rPr>
        <w:t>COPD</w:t>
      </w:r>
      <w:r w:rsidR="002837A6">
        <w:rPr>
          <w:rFonts w:hint="cs"/>
          <w:b/>
          <w:bCs/>
          <w:sz w:val="24"/>
          <w:szCs w:val="32"/>
          <w:cs/>
          <w:lang w:val="en-GB"/>
        </w:rPr>
        <w:t>/</w:t>
      </w:r>
      <w:r w:rsidR="002837A6">
        <w:rPr>
          <w:b/>
          <w:bCs/>
          <w:sz w:val="24"/>
          <w:szCs w:val="32"/>
        </w:rPr>
        <w:t>Asthma</w:t>
      </w:r>
      <w:r w:rsidRPr="002E1B3B">
        <w:rPr>
          <w:b/>
          <w:bCs/>
          <w:sz w:val="24"/>
          <w:szCs w:val="32"/>
          <w:lang w:val="en-GB"/>
        </w:rPr>
        <w:t xml:space="preserve"> </w:t>
      </w:r>
      <w:r w:rsidRPr="002E1B3B">
        <w:rPr>
          <w:rFonts w:hint="cs"/>
          <w:b/>
          <w:bCs/>
          <w:sz w:val="24"/>
          <w:szCs w:val="32"/>
          <w:cs/>
          <w:lang w:val="en-GB"/>
        </w:rPr>
        <w:t>ที่งานผู้ป่วยใน</w:t>
      </w:r>
    </w:p>
    <w:p w:rsidR="002E1B3B" w:rsidRPr="002E1B3B" w:rsidRDefault="005D755A">
      <w:pPr>
        <w:rPr>
          <w:cs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.95pt;margin-top:467.8pt;width:129.9pt;height:42.7pt;z-index:251669504;mso-width-relative:margin;mso-height-relative:margin">
            <v:textbox style="mso-next-textbox:#_x0000_s1032">
              <w:txbxContent>
                <w:p w:rsidR="002837A6" w:rsidRPr="005D755A" w:rsidRDefault="002837A6" w:rsidP="002837A6">
                  <w:pPr>
                    <w:rPr>
                      <w:rFonts w:ascii="BrowalliaUPC" w:hAnsi="BrowalliaUPC" w:cs="BrowalliaUPC" w:hint="cs"/>
                      <w:sz w:val="32"/>
                      <w:szCs w:val="32"/>
                      <w:cs/>
                    </w:rPr>
                  </w:pPr>
                  <w:r w:rsidRPr="005D755A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เยี่ยมโดยทีม</w:t>
                  </w:r>
                  <w:r w:rsidRPr="005D755A">
                    <w:rPr>
                      <w:rFonts w:ascii="BrowalliaUPC" w:hAnsi="BrowalliaUPC" w:cs="BrowalliaUPC"/>
                      <w:sz w:val="32"/>
                      <w:szCs w:val="32"/>
                    </w:rPr>
                    <w:t>PCU/</w:t>
                  </w:r>
                  <w:r w:rsidRPr="005D755A">
                    <w:rPr>
                      <w:rFonts w:ascii="BrowalliaUPC" w:hAnsi="BrowalliaUPC" w:cs="BrowalliaUPC" w:hint="cs"/>
                      <w:sz w:val="32"/>
                      <w:szCs w:val="32"/>
                      <w:cs/>
                    </w:rPr>
                    <w:t>รพ.สต</w:t>
                  </w:r>
                </w:p>
                <w:p w:rsidR="002E1B3B" w:rsidRPr="002837A6" w:rsidRDefault="002E1B3B" w:rsidP="002837A6">
                  <w:pPr>
                    <w:rPr>
                      <w:rFonts w:ascii="BrowalliaUPC" w:hAnsi="BrowalliaUPC" w:cs="BrowalliaUPC" w:hint="cs"/>
                      <w:cs/>
                      <w:lang w:val="en-GB"/>
                    </w:rPr>
                  </w:pPr>
                </w:p>
              </w:txbxContent>
            </v:textbox>
          </v:shape>
        </w:pict>
      </w:r>
      <w:r w:rsidR="002837A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61.85pt;margin-top:510.5pt;width:.05pt;height:36.85pt;z-index:251685888" o:connectortype="straight">
            <v:stroke endarrow="block"/>
          </v:shape>
        </w:pict>
      </w:r>
      <w:r w:rsidR="002837A6">
        <w:rPr>
          <w:noProof/>
        </w:rPr>
        <w:pict>
          <v:shape id="_x0000_s1034" type="#_x0000_t202" style="position:absolute;margin-left:95.85pt;margin-top:547.35pt;width:154.9pt;height:104.65pt;z-index:251671552;mso-width-relative:margin;mso-height-relative:margin">
            <v:textbox style="mso-next-textbox:#_x0000_s1034">
              <w:txbxContent>
                <w:p w:rsidR="002E1B3B" w:rsidRPr="002837A6" w:rsidRDefault="002E1B3B" w:rsidP="00C0603B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ออกเยี่ยม</w:t>
                  </w:r>
                </w:p>
                <w:p w:rsidR="002E1B3B" w:rsidRPr="002837A6" w:rsidRDefault="002E1B3B" w:rsidP="00C0603B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สรุปผลการเยี่ยม</w:t>
                  </w:r>
                </w:p>
                <w:p w:rsidR="002E1B3B" w:rsidRPr="002837A6" w:rsidRDefault="002E1B3B" w:rsidP="00C0603B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แจ้งกลับหน่วยที่ส่งเยี่ยม</w:t>
                  </w:r>
                </w:p>
                <w:p w:rsidR="002E1B3B" w:rsidRPr="002837A6" w:rsidRDefault="002E1B3B" w:rsidP="00C0603B">
                  <w:pPr>
                    <w:pStyle w:val="a5"/>
                    <w:numPr>
                      <w:ilvl w:val="0"/>
                      <w:numId w:val="2"/>
                    </w:numPr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 xml:space="preserve">บันทึกผลลง 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>OPD Card</w:t>
                  </w:r>
                </w:p>
              </w:txbxContent>
            </v:textbox>
          </v:shape>
        </w:pict>
      </w:r>
      <w:r w:rsidR="002837A6">
        <w:rPr>
          <w:noProof/>
        </w:rPr>
        <w:pict>
          <v:shape id="_x0000_s1031" type="#_x0000_t202" style="position:absolute;margin-left:30.6pt;margin-top:354.35pt;width:207.9pt;height:66.8pt;z-index:251668480;mso-width-percent:400;mso-width-percent:400;mso-width-relative:margin;mso-height-relative:margin">
            <v:textbox style="mso-next-textbox:#_x0000_s1031">
              <w:txbxContent>
                <w:p w:rsidR="002E1B3B" w:rsidRDefault="002E1B3B">
                  <w:pPr>
                    <w:rPr>
                      <w:rFonts w:ascii="BrowalliaUPC" w:hAnsi="BrowalliaUPC" w:cs="BrowalliaUPC" w:hint="cs"/>
                      <w:sz w:val="32"/>
                      <w:szCs w:val="32"/>
                      <w:lang w:val="en-GB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 xml:space="preserve">ประสานแพทย์เพื่อพิจารณาจำหน่ายและนัด 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 xml:space="preserve">F/U </w:t>
                  </w:r>
                  <w:r w:rsidR="000232B1"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>1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 xml:space="preserve">wk 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  <w:lang w:val="en-GB"/>
                    </w:rPr>
                    <w:t xml:space="preserve">ที่ คลินิก 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>COPD &amp; Asthma (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วันอังคาร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lang w:val="en-GB"/>
                    </w:rPr>
                    <w:t>)</w:t>
                  </w:r>
                </w:p>
                <w:p w:rsidR="002837A6" w:rsidRDefault="002837A6">
                  <w:pPr>
                    <w:rPr>
                      <w:rFonts w:ascii="BrowalliaUPC" w:hAnsi="BrowalliaUPC" w:cs="BrowalliaUPC" w:hint="cs"/>
                      <w:sz w:val="32"/>
                      <w:szCs w:val="32"/>
                      <w:lang w:val="en-GB"/>
                    </w:rPr>
                  </w:pPr>
                </w:p>
                <w:p w:rsidR="002837A6" w:rsidRPr="002837A6" w:rsidRDefault="002837A6">
                  <w:pPr>
                    <w:rPr>
                      <w:rFonts w:ascii="BrowalliaUPC" w:hAnsi="BrowalliaUPC" w:cs="BrowalliaUPC" w:hint="cs"/>
                      <w:sz w:val="32"/>
                      <w:szCs w:val="32"/>
                      <w:cs/>
                      <w:lang w:val="en-GB"/>
                    </w:rPr>
                  </w:pPr>
                </w:p>
              </w:txbxContent>
            </v:textbox>
          </v:shape>
        </w:pict>
      </w:r>
      <w:r w:rsidR="002837A6">
        <w:rPr>
          <w:noProof/>
        </w:rPr>
        <w:pict>
          <v:shape id="_x0000_s1041" type="#_x0000_t32" style="position:absolute;margin-left:133.25pt;margin-top:423.35pt;width:.05pt;height:15.15pt;z-index:251678720" o:connectortype="straight"/>
        </w:pict>
      </w:r>
      <w:r w:rsidR="002837A6">
        <w:rPr>
          <w:noProof/>
        </w:rPr>
        <w:pict>
          <v:shape id="_x0000_s1049" type="#_x0000_t32" style="position:absolute;margin-left:280.6pt;margin-top:243.4pt;width:.8pt;height:20.75pt;z-index:251686912" o:connectortype="straight">
            <v:stroke dashstyle="dash" endarrow="block"/>
          </v:shape>
        </w:pict>
      </w:r>
      <w:r w:rsidR="002837A6">
        <w:rPr>
          <w:noProof/>
        </w:rPr>
        <w:pict>
          <v:shape id="_x0000_s1037" type="#_x0000_t32" style="position:absolute;margin-left:262.2pt;margin-top:243.4pt;width:0;height:20.75pt;z-index:251674624" o:connectortype="straight">
            <v:stroke endarrow="block"/>
          </v:shape>
        </w:pict>
      </w:r>
      <w:r w:rsidR="002837A6">
        <w:rPr>
          <w:noProof/>
        </w:rPr>
        <w:pict>
          <v:shape id="_x0000_s1029" type="#_x0000_t202" style="position:absolute;margin-left:161.85pt;margin-top:264.15pt;width:208.85pt;height:50.25pt;z-index:251665408;mso-width-relative:margin;mso-height-relative:margin">
            <v:textbox>
              <w:txbxContent>
                <w:p w:rsidR="002E1B3B" w:rsidRPr="002837A6" w:rsidRDefault="002E1B3B" w:rsidP="000232B1">
                  <w:pPr>
                    <w:jc w:val="center"/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ประเมินผลการฝึกทักษะและความเข้าใจในการปฏิบัติตัว</w:t>
                  </w:r>
                </w:p>
              </w:txbxContent>
            </v:textbox>
          </v:shape>
        </w:pict>
      </w:r>
      <w:r w:rsidR="002837A6" w:rsidRPr="00D556B4">
        <w:rPr>
          <w:noProof/>
          <w:lang w:val="en-GB"/>
        </w:rPr>
        <w:pict>
          <v:shape id="_x0000_s1026" type="#_x0000_t202" style="position:absolute;margin-left:0;margin-top:.8pt;width:210.5pt;height:45.85pt;z-index:251660288;mso-position-horizontal:center;mso-width-relative:margin;mso-height-relative:margin">
            <v:textbox style="mso-next-textbox:#_x0000_s1026">
              <w:txbxContent>
                <w:p w:rsidR="002E1B3B" w:rsidRPr="002837A6" w:rsidRDefault="002E1B3B" w:rsidP="002E1B3B">
                  <w:pPr>
                    <w:jc w:val="center"/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ประเมินสภาพและให้การพยาบาลตามปัญหา</w:t>
                  </w:r>
                </w:p>
              </w:txbxContent>
            </v:textbox>
          </v:shape>
        </w:pict>
      </w:r>
      <w:r w:rsidR="00D556B4" w:rsidRPr="00D556B4">
        <w:rPr>
          <w:noProof/>
          <w:lang w:val="en-GB"/>
        </w:rPr>
        <w:pict>
          <v:shape id="_x0000_s1028" type="#_x0000_t202" style="position:absolute;margin-left:10.15pt;margin-top:147.75pt;width:112.05pt;height:83.3pt;z-index:251664384;mso-width-relative:margin;mso-height-relative:margin">
            <v:stroke dashstyle="longDashDot"/>
            <v:textbox style="mso-next-textbox:#_x0000_s1028">
              <w:txbxContent>
                <w:p w:rsidR="002E1B3B" w:rsidRPr="002837A6" w:rsidRDefault="002E1B3B" w:rsidP="002E1B3B">
                  <w:pPr>
                    <w:jc w:val="center"/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ประสานงานทีมให้ร่วมวางแผนจำหน่ายและติดตามเยี่ยมบ้าน</w:t>
                  </w:r>
                </w:p>
              </w:txbxContent>
            </v:textbox>
          </v:shape>
        </w:pict>
      </w:r>
      <w:r w:rsidR="00D556B4">
        <w:rPr>
          <w:noProof/>
        </w:rPr>
        <w:pict>
          <v:shape id="_x0000_s1056" type="#_x0000_t32" style="position:absolute;margin-left:122.2pt;margin-top:188.15pt;width:20.2pt;height:0;flip:x;z-index:251693056" o:connectortype="straight">
            <v:stroke dashstyle="longDashDot" endarrow="block"/>
          </v:shape>
        </w:pict>
      </w:r>
      <w:r w:rsidR="00D556B4">
        <w:rPr>
          <w:noProof/>
        </w:rPr>
        <w:pict>
          <v:shape id="_x0000_s1054" type="#_x0000_t32" style="position:absolute;margin-left:142.4pt;margin-top:283.6pt;width:17.05pt;height:0;flip:x;z-index:251691008" o:connectortype="straight">
            <v:stroke dashstyle="longDashDot"/>
          </v:shape>
        </w:pict>
      </w:r>
      <w:r w:rsidR="00D556B4">
        <w:rPr>
          <w:noProof/>
        </w:rPr>
        <w:pict>
          <v:shape id="_x0000_s1055" type="#_x0000_t32" style="position:absolute;margin-left:142.4pt;margin-top:96.9pt;width:0;height:186.7pt;z-index:251692032" o:connectortype="straight">
            <v:stroke dashstyle="longDashDot"/>
          </v:shape>
        </w:pict>
      </w:r>
      <w:r w:rsidR="00D556B4">
        <w:rPr>
          <w:noProof/>
        </w:rPr>
        <w:pict>
          <v:shape id="_x0000_s1053" type="#_x0000_t32" style="position:absolute;margin-left:142.4pt;margin-top:96.9pt;width:17.05pt;height:.85pt;flip:x;z-index:251689984" o:connectortype="straight">
            <v:stroke dashstyle="longDashDot"/>
          </v:shape>
        </w:pict>
      </w:r>
      <w:r w:rsidR="00D556B4">
        <w:rPr>
          <w:noProof/>
        </w:rPr>
        <w:pict>
          <v:shape id="_x0000_s1051" type="#_x0000_t32" style="position:absolute;margin-left:391.95pt;margin-top:154pt;width:0;height:179.85pt;flip:y;z-index:251687936" o:connectortype="straight">
            <v:stroke dashstyle="dash"/>
          </v:shape>
        </w:pict>
      </w:r>
      <w:r w:rsidR="00D556B4">
        <w:rPr>
          <w:noProof/>
        </w:rPr>
        <w:pict>
          <v:shape id="_x0000_s1052" type="#_x0000_t32" style="position:absolute;margin-left:370.6pt;margin-top:154pt;width:21.35pt;height:0;flip:x;z-index:251688960" o:connectortype="straight">
            <v:stroke dashstyle="dash" endarrow="block"/>
          </v:shape>
        </w:pict>
      </w:r>
      <w:r w:rsidR="00D556B4">
        <w:rPr>
          <w:noProof/>
        </w:rPr>
        <w:pict>
          <v:shape id="_x0000_s1047" type="#_x0000_t32" style="position:absolute;margin-left:95.85pt;margin-top:510.5pt;width:154.95pt;height:0;z-index:251684864" o:connectortype="straight"/>
        </w:pict>
      </w:r>
      <w:r w:rsidR="00D556B4">
        <w:rPr>
          <w:noProof/>
        </w:rPr>
        <w:pict>
          <v:shape id="_x0000_s1046" type="#_x0000_t32" style="position:absolute;margin-left:250.8pt;margin-top:498.8pt;width:0;height:11.7pt;z-index:251683840" o:connectortype="straight"/>
        </w:pict>
      </w:r>
      <w:r w:rsidR="00D556B4">
        <w:rPr>
          <w:noProof/>
        </w:rPr>
        <w:pict>
          <v:shape id="_x0000_s1044" type="#_x0000_t32" style="position:absolute;margin-left:250.75pt;margin-top:438.5pt;width:.05pt;height:29.3pt;z-index:251681792" o:connectortype="straight">
            <v:stroke endarrow="block"/>
          </v:shape>
        </w:pict>
      </w:r>
      <w:r w:rsidR="00D556B4">
        <w:rPr>
          <w:noProof/>
        </w:rPr>
        <w:pict>
          <v:shape id="_x0000_s1043" type="#_x0000_t32" style="position:absolute;margin-left:95.85pt;margin-top:438.5pt;width:0;height:29.3pt;z-index:251680768" o:connectortype="straight">
            <v:stroke endarrow="block"/>
          </v:shape>
        </w:pict>
      </w:r>
      <w:r w:rsidR="00D556B4">
        <w:rPr>
          <w:noProof/>
        </w:rPr>
        <w:pict>
          <v:shape id="_x0000_s1033" type="#_x0000_t202" style="position:absolute;margin-left:182.95pt;margin-top:467.8pt;width:137.15pt;height:31pt;z-index:251670528;mso-width-relative:margin;mso-height-relative:margin">
            <v:textbox style="mso-next-textbox:#_x0000_s1033">
              <w:txbxContent>
                <w:p w:rsidR="002E1B3B" w:rsidRPr="002837A6" w:rsidRDefault="002E1B3B" w:rsidP="00C0603B">
                  <w:pPr>
                    <w:jc w:val="center"/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เยี่ยมโดย</w:t>
                  </w:r>
                  <w:proofErr w:type="spellStart"/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ทีมสห</w:t>
                  </w:r>
                  <w:proofErr w:type="spellEnd"/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สาขาวิชาชีพ</w:t>
                  </w:r>
                </w:p>
              </w:txbxContent>
            </v:textbox>
          </v:shape>
        </w:pict>
      </w:r>
      <w:r w:rsidR="00D556B4">
        <w:rPr>
          <w:noProof/>
        </w:rPr>
        <w:pict>
          <v:shape id="_x0000_s1042" type="#_x0000_t32" style="position:absolute;margin-left:95.85pt;margin-top:438.45pt;width:154.9pt;height:.05pt;z-index:251679744" o:connectortype="straight"/>
        </w:pict>
      </w:r>
      <w:r w:rsidR="00D556B4">
        <w:rPr>
          <w:noProof/>
        </w:rPr>
        <w:pict>
          <v:shape id="_x0000_s1040" type="#_x0000_t32" style="position:absolute;margin-left:133.25pt;margin-top:333.85pt;width:0;height:20.5pt;z-index:251677696" o:connectortype="straight">
            <v:stroke endarrow="block"/>
          </v:shape>
        </w:pict>
      </w:r>
      <w:r w:rsidR="00D556B4">
        <w:rPr>
          <w:noProof/>
        </w:rPr>
        <w:pict>
          <v:shape id="_x0000_s1039" type="#_x0000_t32" style="position:absolute;margin-left:133.25pt;margin-top:333.85pt;width:258.7pt;height:0;z-index:251676672" o:connectortype="straight"/>
        </w:pict>
      </w:r>
      <w:r w:rsidR="00D556B4">
        <w:rPr>
          <w:noProof/>
        </w:rPr>
        <w:pict>
          <v:shape id="_x0000_s1038" type="#_x0000_t32" style="position:absolute;margin-left:262.2pt;margin-top:314.4pt;width:0;height:19.45pt;z-index:251675648" o:connectortype="straight"/>
        </w:pict>
      </w:r>
      <w:r w:rsidR="00D556B4">
        <w:rPr>
          <w:noProof/>
        </w:rPr>
        <w:pict>
          <v:shape id="_x0000_s1036" type="#_x0000_t32" style="position:absolute;margin-left:262.2pt;margin-top:46.65pt;width:0;height:24.75pt;z-index:251673600" o:connectortype="straight">
            <v:stroke endarrow="block"/>
          </v:shape>
        </w:pict>
      </w:r>
      <w:r w:rsidR="00D556B4">
        <w:rPr>
          <w:noProof/>
        </w:rPr>
        <w:pict>
          <v:shape id="_x0000_s1035" type="#_x0000_t202" style="position:absolute;margin-left:370.6pt;margin-top:713.95pt;width:148.6pt;height:39.5pt;z-index:251672576;mso-height-percent:200;mso-height-percent:200;mso-width-relative:margin;mso-height-relative:margin" filled="f" stroked="f">
            <v:textbox style="mso-next-textbox:#_x0000_s1035;mso-fit-shape-to-text:t">
              <w:txbxContent>
                <w:p w:rsidR="00C0603B" w:rsidRPr="00740568" w:rsidRDefault="00C0603B" w:rsidP="00C0603B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คณะกรรมการ </w:t>
                  </w:r>
                  <w:proofErr w:type="gramStart"/>
                  <w:r w:rsidR="002837A6">
                    <w:rPr>
                      <w:lang w:val="en-GB"/>
                    </w:rPr>
                    <w:t xml:space="preserve">PCT </w:t>
                  </w:r>
                  <w:r>
                    <w:rPr>
                      <w:lang w:val="en-GB"/>
                    </w:rPr>
                    <w:t xml:space="preserve"> </w:t>
                  </w:r>
                  <w:r w:rsidR="002837A6">
                    <w:rPr>
                      <w:rFonts w:hint="cs"/>
                      <w:cs/>
                    </w:rPr>
                    <w:t>30</w:t>
                  </w:r>
                  <w:proofErr w:type="gramEnd"/>
                  <w:r w:rsidR="002837A6">
                    <w:rPr>
                      <w:rFonts w:hint="cs"/>
                      <w:cs/>
                    </w:rPr>
                    <w:t xml:space="preserve"> มิ.ย.</w:t>
                  </w:r>
                  <w:r>
                    <w:rPr>
                      <w:rFonts w:hint="cs"/>
                      <w:cs/>
                    </w:rPr>
                    <w:t>2558</w:t>
                  </w:r>
                </w:p>
              </w:txbxContent>
            </v:textbox>
          </v:shape>
        </w:pict>
      </w:r>
      <w:r w:rsidR="00D556B4">
        <w:rPr>
          <w:noProof/>
        </w:rPr>
        <w:pict>
          <v:shape id="_x0000_s1030" type="#_x0000_t202" style="position:absolute;margin-left:404.65pt;margin-top:231.05pt;width:87.25pt;height:39.5pt;z-index:251666432;mso-width-relative:margin;mso-height-relative:margin" filled="f" stroked="f">
            <v:textbox style="mso-next-textbox:#_x0000_s1030;mso-fit-shape-to-text:t">
              <w:txbxContent>
                <w:p w:rsidR="002E1B3B" w:rsidRPr="002837A6" w:rsidRDefault="002E1B3B">
                  <w:pPr>
                    <w:rPr>
                      <w:rFonts w:ascii="BrowalliaUPC" w:hAnsi="BrowalliaUPC" w:cs="BrowalliaUPC"/>
                      <w:cs/>
                    </w:rPr>
                  </w:pPr>
                  <w:r w:rsidRPr="002837A6">
                    <w:rPr>
                      <w:rFonts w:ascii="BrowalliaUPC" w:hAnsi="BrowalliaUPC" w:cs="BrowalliaUPC"/>
                      <w:cs/>
                    </w:rPr>
                    <w:t>ตอบ</w:t>
                  </w:r>
                  <w:r w:rsidR="000232B1" w:rsidRPr="002837A6">
                    <w:rPr>
                      <w:rFonts w:ascii="BrowalliaUPC" w:hAnsi="BrowalliaUPC" w:cs="BrowalliaUPC"/>
                      <w:cs/>
                    </w:rPr>
                    <w:t>/</w:t>
                  </w:r>
                  <w:r w:rsidRPr="002837A6">
                    <w:rPr>
                      <w:rFonts w:ascii="BrowalliaUPC" w:hAnsi="BrowalliaUPC" w:cs="BrowalliaUPC"/>
                      <w:cs/>
                    </w:rPr>
                    <w:t>ปฏิบัติไม่ได้</w:t>
                  </w:r>
                </w:p>
              </w:txbxContent>
            </v:textbox>
          </v:shape>
        </w:pict>
      </w:r>
      <w:r w:rsidR="00D556B4" w:rsidRPr="00D556B4">
        <w:rPr>
          <w:noProof/>
          <w:lang w:val="en-GB"/>
        </w:rPr>
        <w:pict>
          <v:shape id="_x0000_s1027" type="#_x0000_t202" style="position:absolute;margin-left:159pt;margin-top:70.95pt;width:208.85pt;height:161.8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2E1B3B" w:rsidRPr="002837A6" w:rsidRDefault="002E1B3B" w:rsidP="002E1B3B">
                  <w:pPr>
                    <w:jc w:val="center"/>
                    <w:rPr>
                      <w:rFonts w:ascii="BrowalliaUPC" w:hAnsi="BrowalliaUPC" w:cs="BrowalliaUPC"/>
                      <w:b/>
                      <w:bCs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b/>
                      <w:bCs/>
                      <w:sz w:val="32"/>
                      <w:szCs w:val="32"/>
                      <w:cs/>
                    </w:rPr>
                    <w:t>วางแผนจำหน่าย</w:t>
                  </w:r>
                </w:p>
                <w:p w:rsidR="002E1B3B" w:rsidRPr="002837A6" w:rsidRDefault="002E1B3B" w:rsidP="002E1B3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ฝึกทักษะที่จำเป็น เช่น การพ่นยา</w:t>
                  </w:r>
                </w:p>
                <w:p w:rsidR="002E1B3B" w:rsidRPr="002837A6" w:rsidRDefault="002E1B3B" w:rsidP="002E1B3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สอนการหายใจ</w:t>
                  </w:r>
                </w:p>
                <w:p w:rsidR="002E1B3B" w:rsidRPr="002837A6" w:rsidRDefault="002837A6" w:rsidP="002E1B3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BrowalliaUPC" w:hAnsi="BrowalliaUPC" w:cs="BrowalliaUPC"/>
                      <w:sz w:val="32"/>
                      <w:szCs w:val="32"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แนะนำความรู้</w:t>
                  </w:r>
                  <w:r w:rsidRPr="002837A6">
                    <w:rPr>
                      <w:rFonts w:ascii="BrowalliaUPC" w:hAnsi="BrowalliaUPC" w:cs="BrowalliaUPC" w:hint="cs"/>
                      <w:sz w:val="32"/>
                      <w:szCs w:val="32"/>
                      <w:cs/>
                    </w:rPr>
                    <w:t>เกี่ยวกับโรค</w:t>
                  </w:r>
                </w:p>
                <w:p w:rsidR="002E1B3B" w:rsidRPr="002837A6" w:rsidRDefault="002E1B3B" w:rsidP="002E1B3B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</w:pP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t>ร่วมวางแผนแก้ไขปัญหาด้านอื่นๆ</w:t>
                  </w:r>
                  <w:r w:rsidRPr="002837A6">
                    <w:rPr>
                      <w:rFonts w:ascii="BrowalliaUPC" w:hAnsi="BrowalliaUPC" w:cs="BrowalliaUPC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shape>
        </w:pict>
      </w:r>
    </w:p>
    <w:sectPr w:rsidR="002E1B3B" w:rsidRPr="002E1B3B" w:rsidSect="005C0BC7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60BF"/>
    <w:multiLevelType w:val="hybridMultilevel"/>
    <w:tmpl w:val="7B2CE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C69C3"/>
    <w:multiLevelType w:val="hybridMultilevel"/>
    <w:tmpl w:val="69067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2E1B3B"/>
    <w:rsid w:val="000232B1"/>
    <w:rsid w:val="002837A6"/>
    <w:rsid w:val="002E1B3B"/>
    <w:rsid w:val="00374B1F"/>
    <w:rsid w:val="003C790E"/>
    <w:rsid w:val="005C0BC7"/>
    <w:rsid w:val="005D755A"/>
    <w:rsid w:val="00611B79"/>
    <w:rsid w:val="00986BA9"/>
    <w:rsid w:val="00C0603B"/>
    <w:rsid w:val="00D556B4"/>
    <w:rsid w:val="00E4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fillcolor="none" strokecolor="none"/>
    </o:shapedefaults>
    <o:shapelayout v:ext="edit">
      <o:idmap v:ext="edit" data="1"/>
      <o:rules v:ext="edit">
        <o:r id="V:Rule21" type="connector" idref="#_x0000_s1051"/>
        <o:r id="V:Rule22" type="connector" idref="#_x0000_s1036"/>
        <o:r id="V:Rule23" type="connector" idref="#_x0000_s1052"/>
        <o:r id="V:Rule24" type="connector" idref="#_x0000_s1044"/>
        <o:r id="V:Rule25" type="connector" idref="#_x0000_s1038"/>
        <o:r id="V:Rule26" type="connector" idref="#_x0000_s1049"/>
        <o:r id="V:Rule27" type="connector" idref="#_x0000_s1037"/>
        <o:r id="V:Rule28" type="connector" idref="#_x0000_s1053"/>
        <o:r id="V:Rule29" type="connector" idref="#_x0000_s1056"/>
        <o:r id="V:Rule30" type="connector" idref="#_x0000_s1040"/>
        <o:r id="V:Rule31" type="connector" idref="#_x0000_s1045"/>
        <o:r id="V:Rule32" type="connector" idref="#_x0000_s1046"/>
        <o:r id="V:Rule33" type="connector" idref="#_x0000_s1055"/>
        <o:r id="V:Rule34" type="connector" idref="#_x0000_s1041"/>
        <o:r id="V:Rule35" type="connector" idref="#_x0000_s1048"/>
        <o:r id="V:Rule36" type="connector" idref="#_x0000_s1039"/>
        <o:r id="V:Rule37" type="connector" idref="#_x0000_s1043"/>
        <o:r id="V:Rule38" type="connector" idref="#_x0000_s1042"/>
        <o:r id="V:Rule39" type="connector" idref="#_x0000_s1054"/>
        <o:r id="V:Rule4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B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1B3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E1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ER</cp:lastModifiedBy>
  <cp:revision>2</cp:revision>
  <dcterms:created xsi:type="dcterms:W3CDTF">2016-04-08T09:31:00Z</dcterms:created>
  <dcterms:modified xsi:type="dcterms:W3CDTF">2016-04-08T09:31:00Z</dcterms:modified>
</cp:coreProperties>
</file>